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5.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biocypher/biochatter-paper@ba859b7</w:t>
        </w:r>
      </w:hyperlink>
      <w:r>
        <w:t xml:space="preserve"> </w:t>
      </w:r>
      <w:r>
        <w:t xml:space="preserve">on February 15,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11">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 9.59e-05).</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31</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will integrate these developments into the BioChatter framework.</w:t>
      </w:r>
      <w:r>
        <w:t xml:space="preserve"> </w:t>
      </w:r>
      <w:r>
        <w:t xml:space="preserve">Remaining accessible in the face of ever increasing complexity of models and workflows requires continuous maintenance and usability improvements to allow broad adoption in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1">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The BioChatter consortium members contributed to the development of the platform and provided feedback on the manuscript.</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(2024-02-15)</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(2024-02-15)</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ba859b70f8435f6317f328a9650a77ba385780c9/" TargetMode="External" /><Relationship Type="http://schemas.openxmlformats.org/officeDocument/2006/relationships/hyperlink" Id="rId111"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ba859b70f8435f6317f328a9650a77ba385780c9"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ba859b70f8435f6317f328a9650a77ba385780c9/" TargetMode="External" /><Relationship Type="http://schemas.openxmlformats.org/officeDocument/2006/relationships/hyperlink" Id="rId111"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ba859b70f8435f6317f328a9650a77ba385780c9"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2024-02-15T10:13:22Z</dcterms:created>
  <dcterms:modified xsi:type="dcterms:W3CDTF">2024-02-15T10:13:22Z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